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35" w:type="pct"/>
        <w:tblInd w:w="0" w:type="dxa"/>
        <w:tblLayout w:type="fixed"/>
        <w:tblCellMar>
          <w:top w:w="0" w:type="dxa"/>
          <w:left w:w="108" w:type="dxa"/>
          <w:bottom w:w="0" w:type="dxa"/>
          <w:right w:w="108" w:type="dxa"/>
        </w:tblCellMar>
      </w:tblPr>
      <w:tblGrid>
        <w:gridCol w:w="1063"/>
        <w:gridCol w:w="1853"/>
        <w:gridCol w:w="1444"/>
        <w:gridCol w:w="1597"/>
        <w:gridCol w:w="1245"/>
        <w:gridCol w:w="1313"/>
        <w:gridCol w:w="921"/>
      </w:tblGrid>
      <w:tr w14:paraId="4932B986">
        <w:tblPrEx>
          <w:tblCellMar>
            <w:top w:w="0" w:type="dxa"/>
            <w:left w:w="108" w:type="dxa"/>
            <w:bottom w:w="0" w:type="dxa"/>
            <w:right w:w="108" w:type="dxa"/>
          </w:tblCellMar>
        </w:tblPrEx>
        <w:trPr>
          <w:trHeight w:val="748"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43EC16E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81" w:type="pct"/>
            <w:tcBorders>
              <w:top w:val="single" w:color="auto" w:sz="4" w:space="0"/>
              <w:left w:val="nil"/>
              <w:bottom w:val="single" w:color="auto" w:sz="4" w:space="0"/>
              <w:right w:val="single" w:color="auto" w:sz="4" w:space="0"/>
            </w:tcBorders>
            <w:noWrap w:val="0"/>
            <w:vAlign w:val="center"/>
          </w:tcPr>
          <w:p w14:paraId="6EA138C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765" w:type="pct"/>
            <w:tcBorders>
              <w:top w:val="single" w:color="auto" w:sz="4" w:space="0"/>
              <w:left w:val="nil"/>
              <w:bottom w:val="single" w:color="auto" w:sz="4" w:space="0"/>
              <w:right w:val="single" w:color="auto" w:sz="4" w:space="0"/>
            </w:tcBorders>
            <w:noWrap w:val="0"/>
            <w:vAlign w:val="center"/>
          </w:tcPr>
          <w:p w14:paraId="7E1D9292">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占地</w:t>
            </w:r>
            <w:r>
              <w:rPr>
                <w:rFonts w:hint="eastAsia" w:ascii="宋体" w:hAnsi="宋体" w:cs="宋体"/>
                <w:color w:val="000000"/>
                <w:kern w:val="0"/>
                <w:sz w:val="21"/>
                <w:szCs w:val="21"/>
                <w:highlight w:val="none"/>
              </w:rPr>
              <w:t>面积</w:t>
            </w:r>
            <w:r>
              <w:rPr>
                <w:rFonts w:hint="eastAsia" w:ascii="宋体" w:hAnsi="宋体" w:cs="宋体"/>
                <w:color w:val="000000"/>
                <w:kern w:val="0"/>
                <w:sz w:val="21"/>
                <w:szCs w:val="21"/>
                <w:highlight w:val="none"/>
                <w:lang w:val="en-US" w:eastAsia="zh-CN"/>
              </w:rPr>
              <w:t>约</w:t>
            </w:r>
          </w:p>
        </w:tc>
        <w:tc>
          <w:tcPr>
            <w:tcW w:w="846" w:type="pct"/>
            <w:tcBorders>
              <w:top w:val="single" w:color="auto" w:sz="4" w:space="0"/>
              <w:left w:val="nil"/>
              <w:bottom w:val="single" w:color="auto" w:sz="4" w:space="0"/>
              <w:right w:val="single" w:color="auto" w:sz="4" w:space="0"/>
            </w:tcBorders>
            <w:noWrap w:val="0"/>
            <w:vAlign w:val="center"/>
          </w:tcPr>
          <w:p w14:paraId="5E8E7002">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59" w:type="pct"/>
            <w:tcBorders>
              <w:top w:val="single" w:color="auto" w:sz="4" w:space="0"/>
              <w:left w:val="nil"/>
              <w:bottom w:val="single" w:color="auto" w:sz="4" w:space="0"/>
              <w:right w:val="single" w:color="auto" w:sz="4" w:space="0"/>
            </w:tcBorders>
            <w:noWrap w:val="0"/>
            <w:vAlign w:val="center"/>
          </w:tcPr>
          <w:p w14:paraId="7DFCE74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95" w:type="pct"/>
            <w:tcBorders>
              <w:top w:val="single" w:color="auto" w:sz="4" w:space="0"/>
              <w:left w:val="nil"/>
              <w:bottom w:val="single" w:color="auto" w:sz="4" w:space="0"/>
              <w:right w:val="single" w:color="auto" w:sz="4" w:space="0"/>
            </w:tcBorders>
            <w:noWrap/>
            <w:vAlign w:val="center"/>
          </w:tcPr>
          <w:p w14:paraId="6D022E14">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488" w:type="pct"/>
            <w:tcBorders>
              <w:top w:val="single" w:color="auto" w:sz="4" w:space="0"/>
              <w:left w:val="nil"/>
              <w:bottom w:val="single" w:color="auto" w:sz="4" w:space="0"/>
              <w:right w:val="single" w:color="auto" w:sz="4" w:space="0"/>
            </w:tcBorders>
            <w:noWrap/>
            <w:vAlign w:val="center"/>
          </w:tcPr>
          <w:p w14:paraId="21919107">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522C154E">
        <w:tblPrEx>
          <w:tblCellMar>
            <w:top w:w="0" w:type="dxa"/>
            <w:left w:w="108" w:type="dxa"/>
            <w:bottom w:w="0" w:type="dxa"/>
            <w:right w:w="108" w:type="dxa"/>
          </w:tblCellMar>
        </w:tblPrEx>
        <w:trPr>
          <w:trHeight w:val="774" w:hRule="atLeast"/>
        </w:trPr>
        <w:tc>
          <w:tcPr>
            <w:tcW w:w="563" w:type="pct"/>
            <w:tcBorders>
              <w:left w:val="single" w:color="auto" w:sz="8" w:space="0"/>
              <w:bottom w:val="single" w:color="auto" w:sz="4" w:space="0"/>
              <w:right w:val="single" w:color="auto" w:sz="8" w:space="0"/>
            </w:tcBorders>
            <w:noWrap w:val="0"/>
            <w:vAlign w:val="center"/>
          </w:tcPr>
          <w:p w14:paraId="5352CC1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981" w:type="pct"/>
            <w:tcBorders>
              <w:top w:val="single" w:color="auto" w:sz="4" w:space="0"/>
              <w:left w:val="nil"/>
              <w:bottom w:val="single" w:color="auto" w:sz="4" w:space="0"/>
              <w:right w:val="single" w:color="auto" w:sz="8" w:space="0"/>
            </w:tcBorders>
            <w:noWrap w:val="0"/>
            <w:vAlign w:val="center"/>
          </w:tcPr>
          <w:p w14:paraId="3F6CB311">
            <w:pPr>
              <w:widowControl/>
              <w:jc w:val="center"/>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海天路北侧宏远路西侧场地</w:t>
            </w:r>
          </w:p>
        </w:tc>
        <w:tc>
          <w:tcPr>
            <w:tcW w:w="765" w:type="pct"/>
            <w:tcBorders>
              <w:top w:val="single" w:color="auto" w:sz="4" w:space="0"/>
              <w:left w:val="nil"/>
              <w:bottom w:val="single" w:color="auto" w:sz="4" w:space="0"/>
              <w:right w:val="single" w:color="auto" w:sz="8" w:space="0"/>
            </w:tcBorders>
            <w:noWrap w:val="0"/>
            <w:vAlign w:val="center"/>
          </w:tcPr>
          <w:p w14:paraId="40F7996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31亩</w:t>
            </w:r>
          </w:p>
        </w:tc>
        <w:tc>
          <w:tcPr>
            <w:tcW w:w="846" w:type="pct"/>
            <w:tcBorders>
              <w:left w:val="nil"/>
              <w:bottom w:val="single" w:color="auto" w:sz="4" w:space="0"/>
              <w:right w:val="single" w:color="auto" w:sz="8" w:space="0"/>
            </w:tcBorders>
            <w:noWrap w:val="0"/>
            <w:vAlign w:val="center"/>
          </w:tcPr>
          <w:p w14:paraId="188EC16E">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1060800</w:t>
            </w:r>
          </w:p>
        </w:tc>
        <w:tc>
          <w:tcPr>
            <w:tcW w:w="659" w:type="pct"/>
            <w:tcBorders>
              <w:left w:val="nil"/>
              <w:bottom w:val="single" w:color="auto" w:sz="4" w:space="0"/>
              <w:right w:val="nil"/>
            </w:tcBorders>
            <w:noWrap w:val="0"/>
            <w:vAlign w:val="center"/>
          </w:tcPr>
          <w:p w14:paraId="04FBEC7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200000</w:t>
            </w:r>
          </w:p>
        </w:tc>
        <w:tc>
          <w:tcPr>
            <w:tcW w:w="695" w:type="pct"/>
            <w:tcBorders>
              <w:left w:val="single" w:color="auto" w:sz="4" w:space="0"/>
              <w:bottom w:val="single" w:color="auto" w:sz="4" w:space="0"/>
              <w:right w:val="single" w:color="auto" w:sz="4" w:space="0"/>
            </w:tcBorders>
            <w:noWrap w:val="0"/>
            <w:vAlign w:val="center"/>
          </w:tcPr>
          <w:p w14:paraId="576C09C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488" w:type="pct"/>
            <w:tcBorders>
              <w:left w:val="single" w:color="auto" w:sz="4" w:space="0"/>
              <w:bottom w:val="single" w:color="auto" w:sz="4" w:space="0"/>
              <w:right w:val="single" w:color="auto" w:sz="4" w:space="0"/>
            </w:tcBorders>
            <w:noWrap w:val="0"/>
            <w:vAlign w:val="center"/>
          </w:tcPr>
          <w:p w14:paraId="752AF7B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空置</w:t>
            </w:r>
          </w:p>
        </w:tc>
      </w:tr>
    </w:tbl>
    <w:p w14:paraId="57469751">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3FEE4AE8">
      <w:pPr>
        <w:numPr>
          <w:ilvl w:val="0"/>
          <w:numId w:val="1"/>
        </w:numPr>
        <w:spacing w:line="360" w:lineRule="auto"/>
        <w:ind w:firstLine="482" w:firstLineChars="0"/>
        <w:rPr>
          <w:rFonts w:ascii="宋体" w:hAnsi="宋体" w:cs="宋体"/>
          <w:b/>
          <w:kern w:val="0"/>
          <w:sz w:val="24"/>
        </w:rPr>
      </w:pPr>
      <w:r>
        <w:rPr>
          <w:rFonts w:hint="eastAsia" w:ascii="宋体" w:hAnsi="宋体"/>
          <w:b/>
          <w:sz w:val="24"/>
        </w:rPr>
        <w:t>标</w:t>
      </w:r>
      <w:r>
        <w:rPr>
          <w:rFonts w:hint="eastAsia" w:ascii="宋体" w:hAnsi="宋体" w:cs="宋体"/>
          <w:b/>
          <w:sz w:val="24"/>
        </w:rPr>
        <w:t>的</w:t>
      </w:r>
      <w:r>
        <w:rPr>
          <w:rFonts w:hint="eastAsia" w:ascii="宋体" w:hAnsi="宋体"/>
          <w:b/>
          <w:sz w:val="24"/>
        </w:rPr>
        <w:t>不得存放易燃易爆品、灌装液体、危险化学品等;不得违反国家或当地政府环境质量要求产生噪音、废气、废水等污染物;不得在场地上放置渣土、建筑材料及搭建任何建筑物</w:t>
      </w:r>
      <w:r>
        <w:rPr>
          <w:rFonts w:hint="eastAsia" w:ascii="宋体" w:hAnsi="宋体"/>
          <w:b/>
          <w:sz w:val="24"/>
          <w:lang w:eastAsia="zh-CN"/>
        </w:rPr>
        <w:t>，不得在场地内进行机械设备及车辆维修、拆装;物品堆放高度不得超过6米，不得经营易燃易爆危化品和再生资源回收经营等影响周边环境的行业、扰民及违法、违规或违反公序良俗的经营活动，承租人在经营期间场地内的地面硬化、设施设备投入扩容等一切费用由承租人自行承担结算，合同到期时，场地内不可移动的投入归出租人所有。</w:t>
      </w:r>
      <w:r>
        <w:rPr>
          <w:rFonts w:hint="eastAsia" w:ascii="宋体" w:hAnsi="宋体" w:cs="宋体"/>
          <w:b/>
          <w:sz w:val="24"/>
        </w:rPr>
        <w:t>如发现违反该标的规定使用的，视为违约，委托人（出租人）有权无条件收回该标的，履约保证金不予退还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951197F">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339198F3">
      <w:pPr>
        <w:numPr>
          <w:ilvl w:val="0"/>
          <w:numId w:val="1"/>
        </w:numPr>
        <w:spacing w:line="360" w:lineRule="auto"/>
        <w:ind w:firstLine="482" w:firstLineChars="0"/>
        <w:rPr>
          <w:rFonts w:hint="eastAsia" w:ascii="宋体" w:hAnsi="宋体" w:cs="宋体"/>
          <w:b/>
          <w:kern w:val="0"/>
          <w:sz w:val="24"/>
          <w:lang w:val="en-US" w:eastAsia="zh-CN"/>
        </w:rPr>
      </w:pPr>
      <w:r>
        <w:rPr>
          <w:rFonts w:hint="eastAsia" w:ascii="宋体" w:hAnsi="宋体" w:cs="宋体"/>
          <w:b/>
          <w:kern w:val="0"/>
          <w:sz w:val="24"/>
          <w:lang w:val="en-US" w:eastAsia="zh-CN"/>
        </w:rPr>
        <w:t>竞买人须在看样期间对场地进行实地认真勘察，竞价成交后以实地现状为准进行移交，买受人不得以场地瑕疵等任何理由要求赔偿或拒绝交付，否则作违约处理。未按规定时间查看场地或未查看场地的，一切后果由竞买人自负。</w:t>
      </w:r>
    </w:p>
    <w:p w14:paraId="3B103829">
      <w:pPr>
        <w:numPr>
          <w:ilvl w:val="0"/>
          <w:numId w:val="1"/>
        </w:numPr>
        <w:spacing w:line="360" w:lineRule="auto"/>
        <w:ind w:firstLine="482" w:firstLineChars="0"/>
        <w:rPr>
          <w:rFonts w:hint="eastAsia" w:ascii="宋体" w:hAnsi="宋体" w:cs="宋体"/>
          <w:b/>
          <w:sz w:val="24"/>
          <w:lang w:val="en-US" w:eastAsia="zh-CN"/>
        </w:rPr>
      </w:pP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eastAsia="宋体" w:cs="宋体"/>
          <w:color w:val="auto"/>
          <w:kern w:val="0"/>
          <w:sz w:val="24"/>
          <w:szCs w:val="24"/>
          <w:shd w:val="clear" w:color="auto" w:fill="FFFFFF"/>
        </w:rPr>
        <w:t>竞买人须为注册在宁波市内的独立企业法人（分公司不得参加）</w:t>
      </w:r>
      <w:r>
        <w:rPr>
          <w:rFonts w:hint="eastAsia" w:ascii="宋体" w:hAnsi="宋体" w:cs="宋体"/>
          <w:color w:val="auto"/>
          <w:kern w:val="0"/>
          <w:sz w:val="24"/>
          <w:szCs w:val="24"/>
          <w:shd w:val="clear" w:color="auto" w:fill="FFFFFF"/>
          <w:lang w:eastAsia="zh-CN"/>
        </w:rPr>
        <w:t>。</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w:t>
      </w:r>
      <w:r>
        <w:rPr>
          <w:rFonts w:hint="eastAsia" w:ascii="宋体" w:hAnsi="宋体" w:cs="宋体"/>
          <w:color w:val="auto"/>
          <w:sz w:val="24"/>
          <w:szCs w:val="24"/>
          <w:lang w:val="en-US" w:eastAsia="zh-CN"/>
        </w:rPr>
        <w:t>土地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》，并于《</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30万元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3、</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cs="宋体"/>
          <w:b/>
          <w:bCs/>
          <w:sz w:val="24"/>
          <w:szCs w:val="24"/>
        </w:rPr>
        <w:t>《出租资产安全协议》</w:t>
      </w:r>
      <w:r>
        <w:rPr>
          <w:rFonts w:hint="eastAsia" w:ascii="宋体" w:hAnsi="宋体" w:cs="宋体"/>
          <w:b/>
          <w:bCs/>
          <w:sz w:val="24"/>
          <w:szCs w:val="24"/>
          <w:lang w:eastAsia="zh-CN"/>
        </w:rPr>
        <w:t>、</w:t>
      </w:r>
      <w:r>
        <w:rPr>
          <w:rFonts w:hint="eastAsia" w:ascii="宋体" w:hAnsi="宋体" w:cs="宋体"/>
          <w:b/>
          <w:bCs/>
          <w:sz w:val="24"/>
          <w:szCs w:val="24"/>
        </w:rPr>
        <w:t>《面积示意图》</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bookmarkStart w:id="0" w:name="_GoBack"/>
      <w:bookmarkEnd w:id="0"/>
      <w:r>
        <w:rPr>
          <w:rFonts w:hint="eastAsia" w:ascii="宋体" w:hAnsi="宋体" w:eastAsia="宋体" w:cs="宋体"/>
          <w:color w:val="auto"/>
          <w:sz w:val="24"/>
          <w:szCs w:val="24"/>
        </w:rPr>
        <w:t>日</w:t>
      </w:r>
    </w:p>
    <w:p w14:paraId="5A2D1DB3">
      <w:pPr>
        <w:adjustRightInd w:val="0"/>
        <w:snapToGrid w:val="0"/>
        <w:spacing w:line="560" w:lineRule="exact"/>
        <w:ind w:firstLine="1280" w:firstLineChars="4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方正小标宋简体" w:hAnsi="方正小标宋简体" w:eastAsia="方正小标宋简体" w:cs="Helvetica"/>
          <w:bCs/>
          <w:sz w:val="44"/>
          <w:szCs w:val="44"/>
          <w:lang w:bidi="ar"/>
        </w:rPr>
        <w:t>房屋</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val="en-US" w:eastAsia="zh-CN" w:bidi="ar"/>
        </w:rPr>
        <w:t>土地</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bidi="ar"/>
        </w:rPr>
        <w:t>租赁合同</w:t>
      </w:r>
      <w:r>
        <w:rPr>
          <w:rFonts w:hint="eastAsia" w:ascii="仿宋_GB2312" w:hAnsi="仿宋_GB2312" w:eastAsia="仿宋_GB2312" w:cs="仿宋_GB2312"/>
          <w:sz w:val="32"/>
          <w:szCs w:val="32"/>
        </w:rPr>
        <w:t xml:space="preserve"> </w:t>
      </w:r>
    </w:p>
    <w:p w14:paraId="08E3636E">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6B6A608E">
      <w:pPr>
        <w:adjustRightInd w:val="0"/>
        <w:snapToGrid w:val="0"/>
        <w:spacing w:line="560" w:lineRule="exact"/>
        <w:jc w:val="center"/>
        <w:rPr>
          <w:rFonts w:ascii="方正小标宋简体" w:hAnsi="方正小标宋简体" w:eastAsia="方正小标宋简体" w:cs="Helvetica"/>
          <w:bCs/>
          <w:sz w:val="44"/>
          <w:szCs w:val="44"/>
          <w:lang w:bidi="ar"/>
        </w:rPr>
      </w:pPr>
    </w:p>
    <w:p w14:paraId="29ACC8E5">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出租方：</w:t>
      </w:r>
      <w:r>
        <w:rPr>
          <w:rFonts w:hint="eastAsia" w:ascii="仿宋_GB2312" w:hAnsi="仿宋" w:eastAsia="仿宋_GB2312"/>
          <w:sz w:val="32"/>
          <w:szCs w:val="32"/>
          <w:u w:val="single"/>
          <w:lang w:val="en-US" w:eastAsia="zh-CN"/>
        </w:rPr>
        <w:t>宁波市镇海区城市物流开发有限公司</w:t>
      </w:r>
      <w:r>
        <w:rPr>
          <w:rFonts w:hint="eastAsia" w:ascii="仿宋_GB2312" w:hAnsi="仿宋" w:eastAsia="仿宋_GB2312"/>
          <w:sz w:val="32"/>
          <w:szCs w:val="32"/>
        </w:rPr>
        <w:t xml:space="preserve">                                 （以下简称甲方）</w:t>
      </w:r>
    </w:p>
    <w:p w14:paraId="156A1D0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统一社会信用代码：913302</w:t>
      </w:r>
      <w:r>
        <w:rPr>
          <w:rFonts w:hint="eastAsia" w:ascii="仿宋_GB2312" w:hAnsi="仿宋" w:eastAsia="仿宋_GB2312"/>
          <w:sz w:val="32"/>
          <w:szCs w:val="32"/>
          <w:lang w:val="en-US" w:eastAsia="zh-CN"/>
        </w:rPr>
        <w:t>11309031622Y</w:t>
      </w:r>
      <w:r>
        <w:rPr>
          <w:rFonts w:hint="eastAsia" w:ascii="仿宋_GB2312" w:hAnsi="仿宋" w:eastAsia="仿宋_GB2312"/>
          <w:sz w:val="32"/>
          <w:szCs w:val="32"/>
        </w:rPr>
        <w:t xml:space="preserve">                       </w:t>
      </w:r>
    </w:p>
    <w:p w14:paraId="2CFE5FE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地址：宁波市镇海区平海路1188号。</w:t>
      </w:r>
    </w:p>
    <w:p w14:paraId="7D4768DE">
      <w:pPr>
        <w:adjustRightInd w:val="0"/>
        <w:snapToGrid w:val="0"/>
        <w:spacing w:line="560" w:lineRule="exact"/>
        <w:rPr>
          <w:rFonts w:hint="default" w:ascii="仿宋_GB2312" w:hAnsi="仿宋" w:eastAsia="仿宋_GB2312"/>
          <w:sz w:val="32"/>
          <w:szCs w:val="32"/>
          <w:lang w:val="en-US" w:eastAsia="zh-CN"/>
        </w:rPr>
      </w:pPr>
      <w:r>
        <w:rPr>
          <w:rFonts w:hint="eastAsia" w:ascii="仿宋_GB2312" w:hAnsi="仿宋" w:eastAsia="仿宋_GB2312"/>
          <w:sz w:val="32"/>
          <w:szCs w:val="32"/>
        </w:rPr>
        <w:t>联系电话：</w:t>
      </w:r>
      <w:r>
        <w:rPr>
          <w:rFonts w:hint="eastAsia" w:ascii="仿宋_GB2312" w:hAnsi="仿宋" w:eastAsia="仿宋_GB2312"/>
          <w:sz w:val="32"/>
          <w:szCs w:val="32"/>
          <w:lang w:val="en-US" w:eastAsia="zh-CN"/>
        </w:rPr>
        <w:t>86288970</w:t>
      </w:r>
    </w:p>
    <w:p w14:paraId="55D187C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4C7D389B">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（以下简称乙方）</w:t>
      </w:r>
    </w:p>
    <w:p w14:paraId="4FD23F01">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7F85A87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地址：宁波市镇海区定海路289号</w:t>
      </w:r>
    </w:p>
    <w:p w14:paraId="610AC604">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联系电话：</w:t>
      </w:r>
    </w:p>
    <w:p w14:paraId="225B50B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8502BF2">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第一条 资产基本情况</w:t>
      </w:r>
    </w:p>
    <w:p w14:paraId="4E5962FE">
      <w:pPr>
        <w:adjustRightInd w:val="0"/>
        <w:snapToGrid w:val="0"/>
        <w:spacing w:line="560" w:lineRule="exact"/>
        <w:ind w:left="420" w:firstLine="217" w:firstLineChars="68"/>
        <w:rPr>
          <w:rFonts w:ascii="仿宋_GB2312" w:hAnsi="仿宋" w:eastAsia="仿宋_GB2312"/>
          <w:sz w:val="32"/>
          <w:szCs w:val="32"/>
          <w:highlight w:val="none"/>
        </w:rPr>
      </w:pPr>
      <w:r>
        <w:rPr>
          <w:rFonts w:hint="eastAsia" w:ascii="仿宋_GB2312" w:hAnsi="仿宋" w:eastAsia="仿宋_GB2312"/>
          <w:sz w:val="32"/>
          <w:szCs w:val="32"/>
        </w:rPr>
        <w:t>（一）</w:t>
      </w:r>
      <w:r>
        <w:rPr>
          <w:rFonts w:hint="eastAsia" w:ascii="仿宋_GB2312" w:hAnsi="仿宋" w:eastAsia="仿宋_GB2312"/>
          <w:sz w:val="32"/>
          <w:szCs w:val="32"/>
          <w:highlight w:val="none"/>
        </w:rPr>
        <w:t>甲方拟出租资产坐落于</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w:t>
      </w:r>
      <w:r>
        <w:rPr>
          <w:rFonts w:hint="eastAsia" w:ascii="仿宋_GB2312" w:hAnsi="仿宋" w:eastAsia="仿宋_GB2312"/>
          <w:color w:val="000000"/>
          <w:sz w:val="32"/>
          <w:szCs w:val="32"/>
          <w:highlight w:val="none"/>
          <w:lang w:val="en-US" w:eastAsia="zh-CN"/>
        </w:rPr>
        <w:t>土地出租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建筑出租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color w:val="000000"/>
          <w:sz w:val="32"/>
          <w:szCs w:val="32"/>
          <w:highlight w:val="none"/>
        </w:rPr>
        <w:t>；</w:t>
      </w:r>
    </w:p>
    <w:p w14:paraId="1CB5943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（二）装修、设备情况：</w:t>
      </w:r>
    </w:p>
    <w:p w14:paraId="1A43DE59">
      <w:pPr>
        <w:adjustRightInd w:val="0"/>
        <w:snapToGrid w:val="0"/>
        <w:spacing w:line="560" w:lineRule="exact"/>
        <w:ind w:firstLine="640" w:firstLineChars="200"/>
        <w:rPr>
          <w:rFonts w:ascii="仿宋_GB2312" w:hAnsi="仿宋" w:eastAsia="仿宋_GB2312"/>
          <w:sz w:val="32"/>
          <w:szCs w:val="32"/>
          <w:u w:val="single"/>
        </w:rPr>
      </w:pP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u w:val="single"/>
        </w:rPr>
        <w:t xml:space="preserve">                                          </w:t>
      </w:r>
    </w:p>
    <w:p w14:paraId="7B53F1F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15366FD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DC112AF">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第二条 资产用途</w:t>
      </w:r>
    </w:p>
    <w:p w14:paraId="777CB23D">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使用。除双方另有约定外，乙方不得随意改变资产用途。</w:t>
      </w:r>
    </w:p>
    <w:p w14:paraId="2D49CA8B">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第三条 租赁期限</w:t>
      </w:r>
    </w:p>
    <w:p w14:paraId="30AC659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65542C0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3E0E42B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第四条 租赁履约保证金</w:t>
      </w:r>
    </w:p>
    <w:p w14:paraId="1D68163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lang w:val="en-US" w:eastAsia="zh-CN"/>
        </w:rPr>
        <w:t>之日起</w:t>
      </w:r>
      <w:r>
        <w:rPr>
          <w:rFonts w:hint="eastAsia" w:ascii="仿宋_GB2312" w:hAnsi="仿宋" w:eastAsia="仿宋_GB2312"/>
          <w:color w:val="000000"/>
          <w:sz w:val="32"/>
          <w:szCs w:val="32"/>
          <w:u w:val="single"/>
        </w:rPr>
        <w:t>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041DC39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102E6A5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u w:val="none"/>
        </w:rPr>
        <w:t>欠付</w:t>
      </w:r>
      <w:r>
        <w:rPr>
          <w:rFonts w:hint="eastAsia" w:ascii="仿宋_GB2312" w:hAnsi="仿宋" w:eastAsia="仿宋_GB2312"/>
          <w:sz w:val="32"/>
          <w:szCs w:val="32"/>
        </w:rPr>
        <w:t>租金及其他费用；</w:t>
      </w:r>
    </w:p>
    <w:p w14:paraId="6B19098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4EC37D4F">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D1CF926">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1F5C83CA">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第五条 租金及付款方式</w:t>
      </w:r>
    </w:p>
    <w:p w14:paraId="4BFA3BF8">
      <w:pPr>
        <w:adjustRightInd w:val="0"/>
        <w:snapToGrid w:val="0"/>
        <w:spacing w:line="56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（一）</w:t>
      </w:r>
      <w:r>
        <w:rPr>
          <w:rFonts w:hint="eastAsia" w:ascii="仿宋_GB2312" w:hAnsi="仿宋" w:eastAsia="仿宋_GB2312" w:cs="Times New Roman"/>
          <w:sz w:val="32"/>
          <w:szCs w:val="32"/>
        </w:rPr>
        <w:t>双方约定，</w:t>
      </w:r>
      <w:r>
        <w:rPr>
          <w:rFonts w:hint="eastAsia" w:ascii="仿宋_GB2312" w:hAnsi="仿宋" w:eastAsia="仿宋_GB2312" w:cs="Times New Roman"/>
          <w:sz w:val="32"/>
          <w:szCs w:val="32"/>
          <w:highlight w:val="none"/>
          <w:lang w:eastAsia="zh-CN"/>
        </w:rPr>
        <w:t>年</w:t>
      </w:r>
      <w:r>
        <w:rPr>
          <w:rFonts w:hint="eastAsia" w:ascii="仿宋_GB2312" w:hAnsi="仿宋" w:eastAsia="仿宋_GB2312" w:cs="Times New Roman"/>
          <w:sz w:val="32"/>
          <w:szCs w:val="32"/>
          <w:highlight w:val="none"/>
        </w:rPr>
        <w:t>租金标准</w:t>
      </w:r>
      <w:r>
        <w:rPr>
          <w:rFonts w:hint="eastAsia" w:ascii="仿宋_GB2312" w:hAnsi="仿宋" w:eastAsia="仿宋_GB2312" w:cs="Times New Roman"/>
          <w:sz w:val="32"/>
          <w:szCs w:val="32"/>
          <w:highlight w:val="none"/>
          <w:lang w:val="en-US" w:eastAsia="zh-CN"/>
        </w:rPr>
        <w:t>为</w:t>
      </w:r>
      <w:r>
        <w:rPr>
          <w:rFonts w:hint="eastAsia" w:ascii="仿宋_GB2312" w:hAnsi="仿宋" w:eastAsia="仿宋_GB2312" w:cs="Times New Roman"/>
          <w:sz w:val="32"/>
          <w:szCs w:val="32"/>
          <w:highlight w:val="none"/>
          <w:u w:val="single"/>
          <w:lang w:val="en-US" w:eastAsia="zh-CN"/>
        </w:rPr>
        <w:t xml:space="preserve">     </w:t>
      </w:r>
      <w:r>
        <w:rPr>
          <w:rFonts w:hint="eastAsia" w:ascii="仿宋_GB2312" w:hAnsi="仿宋" w:eastAsia="仿宋_GB2312" w:cs="Times New Roman"/>
          <w:sz w:val="32"/>
          <w:szCs w:val="32"/>
          <w:highlight w:val="none"/>
          <w:lang w:val="en-US" w:eastAsia="zh-CN"/>
        </w:rPr>
        <w:t>元,</w:t>
      </w:r>
      <w:r>
        <w:rPr>
          <w:rFonts w:hint="eastAsia" w:ascii="仿宋_GB2312" w:hAnsi="仿宋" w:eastAsia="仿宋_GB2312" w:cs="Times New Roman"/>
          <w:sz w:val="32"/>
          <w:szCs w:val="32"/>
          <w:lang w:val="en-US" w:eastAsia="zh-CN"/>
        </w:rPr>
        <w:t>租金按半年支付一次，</w:t>
      </w:r>
      <w:r>
        <w:rPr>
          <w:rFonts w:hint="eastAsia" w:ascii="仿宋_GB2312" w:hAnsi="仿宋" w:eastAsia="仿宋_GB2312" w:cs="Times New Roman"/>
          <w:sz w:val="32"/>
          <w:szCs w:val="32"/>
        </w:rPr>
        <w:t>先付后用</w:t>
      </w:r>
      <w:r>
        <w:rPr>
          <w:rFonts w:hint="eastAsia" w:ascii="仿宋_GB2312" w:hAnsi="仿宋" w:eastAsia="仿宋_GB2312" w:cs="Times New Roman"/>
          <w:sz w:val="32"/>
          <w:szCs w:val="32"/>
          <w:lang w:eastAsia="zh-CN"/>
        </w:rPr>
        <w:t>。</w:t>
      </w:r>
    </w:p>
    <w:p w14:paraId="16320BE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2DC1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noWrap w:val="0"/>
            <w:vAlign w:val="center"/>
          </w:tcPr>
          <w:p w14:paraId="32137278">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期 次</w:t>
            </w:r>
          </w:p>
        </w:tc>
        <w:tc>
          <w:tcPr>
            <w:tcW w:w="2763" w:type="dxa"/>
            <w:noWrap w:val="0"/>
            <w:vAlign w:val="center"/>
          </w:tcPr>
          <w:p w14:paraId="78079ABB">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支付时点</w:t>
            </w:r>
          </w:p>
        </w:tc>
        <w:tc>
          <w:tcPr>
            <w:tcW w:w="2655" w:type="dxa"/>
            <w:noWrap w:val="0"/>
            <w:vAlign w:val="center"/>
          </w:tcPr>
          <w:p w14:paraId="45B1B4E3">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计费周期</w:t>
            </w:r>
          </w:p>
        </w:tc>
        <w:tc>
          <w:tcPr>
            <w:tcW w:w="2340" w:type="dxa"/>
            <w:noWrap w:val="0"/>
            <w:vAlign w:val="center"/>
          </w:tcPr>
          <w:p w14:paraId="66291E85">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当期应付数额/元</w:t>
            </w:r>
          </w:p>
        </w:tc>
      </w:tr>
      <w:tr w14:paraId="67B7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273" w:type="dxa"/>
            <w:noWrap w:val="0"/>
            <w:vAlign w:val="center"/>
          </w:tcPr>
          <w:p w14:paraId="4E8FC1E4">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第一期</w:t>
            </w:r>
          </w:p>
        </w:tc>
        <w:tc>
          <w:tcPr>
            <w:tcW w:w="2763" w:type="dxa"/>
            <w:noWrap w:val="0"/>
            <w:vAlign w:val="center"/>
          </w:tcPr>
          <w:p w14:paraId="47D3843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 xml:space="preserve"> </w:t>
            </w:r>
          </w:p>
        </w:tc>
        <w:tc>
          <w:tcPr>
            <w:tcW w:w="2655" w:type="dxa"/>
            <w:noWrap w:val="0"/>
            <w:vAlign w:val="center"/>
          </w:tcPr>
          <w:p w14:paraId="65EFBD8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340" w:type="dxa"/>
            <w:noWrap w:val="0"/>
            <w:vAlign w:val="center"/>
          </w:tcPr>
          <w:p w14:paraId="7B7AA23C">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r w14:paraId="0E19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273" w:type="dxa"/>
            <w:noWrap w:val="0"/>
            <w:vAlign w:val="center"/>
          </w:tcPr>
          <w:p w14:paraId="006B938E">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第二期</w:t>
            </w:r>
          </w:p>
        </w:tc>
        <w:tc>
          <w:tcPr>
            <w:tcW w:w="2763" w:type="dxa"/>
            <w:noWrap w:val="0"/>
            <w:vAlign w:val="center"/>
          </w:tcPr>
          <w:p w14:paraId="2A3374B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655" w:type="dxa"/>
            <w:noWrap w:val="0"/>
            <w:vAlign w:val="center"/>
          </w:tcPr>
          <w:p w14:paraId="3710FB4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p>
        </w:tc>
        <w:tc>
          <w:tcPr>
            <w:tcW w:w="2340" w:type="dxa"/>
            <w:noWrap w:val="0"/>
            <w:vAlign w:val="center"/>
          </w:tcPr>
          <w:p w14:paraId="5381F17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bl>
    <w:p w14:paraId="474EC24A">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1BDF761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w:t>
      </w:r>
      <w:r>
        <w:rPr>
          <w:rFonts w:hint="eastAsia" w:ascii="仿宋_GB2312" w:hAnsi="仿宋" w:eastAsia="仿宋_GB2312"/>
          <w:sz w:val="32"/>
          <w:szCs w:val="32"/>
          <w:u w:val="single"/>
          <w:lang w:val="en-US" w:eastAsia="zh-CN"/>
        </w:rPr>
        <w:t>宁波市镇海区城市物流开发有限公司</w:t>
      </w:r>
    </w:p>
    <w:p w14:paraId="3B156076">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纳税人识别号：913302</w:t>
      </w:r>
      <w:r>
        <w:rPr>
          <w:rFonts w:hint="eastAsia" w:ascii="仿宋_GB2312" w:hAnsi="仿宋" w:eastAsia="仿宋_GB2312"/>
          <w:sz w:val="32"/>
          <w:szCs w:val="32"/>
          <w:lang w:val="en-US" w:eastAsia="zh-CN"/>
        </w:rPr>
        <w:t>11309031622Y</w:t>
      </w:r>
    </w:p>
    <w:p w14:paraId="0950D0F0">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地址电话：镇海区招宝山街道平海路1188号86266308</w:t>
      </w:r>
    </w:p>
    <w:p w14:paraId="4F9E1FB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开户银行：中国建设银行宁波</w:t>
      </w:r>
      <w:r>
        <w:rPr>
          <w:rFonts w:hint="eastAsia" w:ascii="仿宋_GB2312" w:hAnsi="仿宋" w:eastAsia="仿宋_GB2312"/>
          <w:sz w:val="32"/>
          <w:szCs w:val="32"/>
          <w:lang w:val="en-US" w:eastAsia="zh-CN"/>
        </w:rPr>
        <w:t>市</w:t>
      </w:r>
      <w:r>
        <w:rPr>
          <w:rFonts w:hint="eastAsia" w:ascii="仿宋_GB2312" w:hAnsi="仿宋" w:eastAsia="仿宋_GB2312"/>
          <w:sz w:val="32"/>
          <w:szCs w:val="32"/>
        </w:rPr>
        <w:t>镇海</w:t>
      </w:r>
      <w:r>
        <w:rPr>
          <w:rFonts w:hint="eastAsia" w:ascii="仿宋_GB2312" w:hAnsi="仿宋" w:eastAsia="仿宋_GB2312"/>
          <w:sz w:val="32"/>
          <w:szCs w:val="32"/>
          <w:lang w:val="en-US" w:eastAsia="zh-CN"/>
        </w:rPr>
        <w:t>区</w:t>
      </w:r>
      <w:r>
        <w:rPr>
          <w:rFonts w:hint="eastAsia" w:ascii="仿宋_GB2312" w:hAnsi="仿宋" w:eastAsia="仿宋_GB2312"/>
          <w:sz w:val="32"/>
          <w:szCs w:val="32"/>
        </w:rPr>
        <w:t>支行</w:t>
      </w:r>
    </w:p>
    <w:p w14:paraId="0637ADDB">
      <w:pPr>
        <w:adjustRightInd w:val="0"/>
        <w:snapToGrid w:val="0"/>
        <w:spacing w:line="560" w:lineRule="exact"/>
        <w:ind w:firstLine="600" w:firstLineChars="200"/>
        <w:rPr>
          <w:rFonts w:hint="default" w:ascii="宋体" w:hAnsi="宋体" w:eastAsia="宋体" w:cs="宋体"/>
          <w:sz w:val="30"/>
          <w:szCs w:val="30"/>
          <w:lang w:val="en-US" w:eastAsia="zh-CN"/>
        </w:rPr>
      </w:pPr>
      <w:r>
        <w:rPr>
          <w:rFonts w:hint="eastAsia" w:ascii="宋体" w:hAnsi="宋体" w:cs="宋体"/>
          <w:sz w:val="30"/>
          <w:szCs w:val="30"/>
        </w:rPr>
        <w:t>开户账号：</w:t>
      </w:r>
      <w:r>
        <w:rPr>
          <w:rFonts w:hint="eastAsia" w:ascii="宋体" w:hAnsi="宋体" w:cs="宋体"/>
          <w:sz w:val="30"/>
          <w:szCs w:val="30"/>
          <w:lang w:val="en-US" w:eastAsia="zh-CN"/>
        </w:rPr>
        <w:t>33101984036050513724</w:t>
      </w:r>
    </w:p>
    <w:p w14:paraId="08F5736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w:t>
      </w:r>
      <w:r>
        <w:rPr>
          <w:rFonts w:hint="eastAsia" w:ascii="仿宋_GB2312" w:hAnsi="仿宋" w:eastAsia="仿宋_GB2312"/>
          <w:sz w:val="32"/>
          <w:szCs w:val="32"/>
          <w:highlight w:val="none"/>
        </w:rPr>
        <w:t>租金为含税价</w:t>
      </w:r>
      <w:r>
        <w:rPr>
          <w:rFonts w:ascii="仿宋_GB2312" w:hAnsi="仿宋" w:eastAsia="仿宋_GB2312"/>
          <w:sz w:val="32"/>
          <w:szCs w:val="32"/>
          <w:highlight w:val="none"/>
        </w:rPr>
        <w:t>）</w:t>
      </w:r>
      <w:r>
        <w:rPr>
          <w:rFonts w:hint="eastAsia" w:ascii="仿宋_GB2312" w:hAnsi="仿宋" w:eastAsia="仿宋_GB2312"/>
          <w:sz w:val="32"/>
          <w:szCs w:val="32"/>
          <w:highlight w:val="none"/>
        </w:rPr>
        <w:t>。</w:t>
      </w:r>
    </w:p>
    <w:p w14:paraId="43FA7693">
      <w:pPr>
        <w:numPr>
          <w:ilvl w:val="0"/>
          <w:numId w:val="3"/>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乙方开票信息：</w:t>
      </w:r>
    </w:p>
    <w:p w14:paraId="0A293A43">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公司名称：</w:t>
      </w:r>
      <w:r>
        <w:rPr>
          <w:rFonts w:hint="eastAsia" w:ascii="仿宋_GB2312" w:hAnsi="仿宋" w:eastAsia="仿宋_GB2312"/>
          <w:sz w:val="32"/>
          <w:szCs w:val="32"/>
          <w:u w:val="single"/>
          <w:lang w:val="en-US" w:eastAsia="zh-CN"/>
        </w:rPr>
        <w:t xml:space="preserve">               </w:t>
      </w:r>
    </w:p>
    <w:p w14:paraId="0751FA00">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地址电话：</w:t>
      </w:r>
      <w:r>
        <w:rPr>
          <w:rFonts w:hint="eastAsia" w:ascii="仿宋_GB2312" w:hAnsi="仿宋" w:eastAsia="仿宋_GB2312"/>
          <w:sz w:val="32"/>
          <w:szCs w:val="32"/>
          <w:u w:val="single"/>
          <w:lang w:val="en-US" w:eastAsia="zh-CN"/>
        </w:rPr>
        <w:t xml:space="preserve">                </w:t>
      </w:r>
    </w:p>
    <w:p w14:paraId="56A0592E">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开户银行：</w:t>
      </w:r>
      <w:r>
        <w:rPr>
          <w:rFonts w:hint="eastAsia" w:ascii="仿宋_GB2312" w:hAnsi="仿宋" w:eastAsia="仿宋_GB2312"/>
          <w:sz w:val="32"/>
          <w:szCs w:val="32"/>
          <w:u w:val="single"/>
          <w:lang w:val="en-US" w:eastAsia="zh-CN"/>
        </w:rPr>
        <w:t xml:space="preserve">                </w:t>
      </w:r>
    </w:p>
    <w:p w14:paraId="73158D5E">
      <w:pPr>
        <w:adjustRightInd w:val="0"/>
        <w:snapToGrid w:val="0"/>
        <w:spacing w:line="560" w:lineRule="exact"/>
        <w:ind w:firstLine="600" w:firstLineChars="200"/>
        <w:rPr>
          <w:rFonts w:hint="default" w:ascii="仿宋_GB2312" w:hAnsi="仿宋" w:eastAsia="仿宋_GB2312"/>
          <w:sz w:val="32"/>
          <w:szCs w:val="32"/>
          <w:u w:val="single"/>
          <w:lang w:val="en-US" w:eastAsia="zh-CN"/>
        </w:rPr>
      </w:pPr>
      <w:r>
        <w:rPr>
          <w:rFonts w:hint="eastAsia" w:ascii="宋体" w:hAnsi="宋体" w:cs="宋体"/>
          <w:sz w:val="30"/>
          <w:szCs w:val="30"/>
        </w:rPr>
        <w:t>开户</w:t>
      </w:r>
      <w:r>
        <w:rPr>
          <w:rFonts w:hint="eastAsia" w:ascii="仿宋_GB2312" w:hAnsi="仿宋" w:eastAsia="仿宋_GB2312"/>
          <w:sz w:val="32"/>
          <w:szCs w:val="32"/>
          <w:u w:val="single"/>
        </w:rPr>
        <w:t>账号：</w:t>
      </w:r>
      <w:r>
        <w:rPr>
          <w:rFonts w:hint="eastAsia" w:ascii="仿宋_GB2312" w:hAnsi="仿宋" w:eastAsia="仿宋_GB2312"/>
          <w:sz w:val="32"/>
          <w:szCs w:val="32"/>
          <w:u w:val="single"/>
          <w:lang w:val="en-US" w:eastAsia="zh-CN"/>
        </w:rPr>
        <w:t xml:space="preserve">                 </w:t>
      </w:r>
    </w:p>
    <w:p w14:paraId="2BD3F5CC">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第六条 资产租赁期间的相关费用</w:t>
      </w:r>
    </w:p>
    <w:p w14:paraId="669071B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16F4A4EF">
      <w:pPr>
        <w:numPr>
          <w:ilvl w:val="0"/>
          <w:numId w:val="4"/>
        </w:numPr>
        <w:adjustRightInd w:val="0"/>
        <w:snapToGrid w:val="0"/>
        <w:spacing w:line="560" w:lineRule="exact"/>
        <w:ind w:firstLine="640"/>
        <w:rPr>
          <w:rFonts w:ascii="仿宋_GB2312" w:hAnsi="仿宋" w:eastAsia="仿宋_GB2312"/>
          <w:sz w:val="32"/>
          <w:szCs w:val="32"/>
          <w:highlight w:val="none"/>
        </w:rPr>
      </w:pPr>
      <w:r>
        <w:rPr>
          <w:rFonts w:hint="eastAsia" w:ascii="仿宋_GB2312" w:hAnsi="仿宋" w:eastAsia="仿宋_GB2312"/>
          <w:sz w:val="32"/>
          <w:szCs w:val="32"/>
          <w:highlight w:val="none"/>
        </w:rPr>
        <w:t>租赁期间牵涉到的水、电、气、通讯、物业管理费、厂区出入口设置等一切经营费用以及出租使用期间的日常维修、维护、保养、扩容等一切费用等。；</w:t>
      </w:r>
    </w:p>
    <w:p w14:paraId="40862A09">
      <w:pPr>
        <w:numPr>
          <w:ilvl w:val="0"/>
          <w:numId w:val="4"/>
        </w:numPr>
        <w:adjustRightInd w:val="0"/>
        <w:snapToGrid w:val="0"/>
        <w:spacing w:line="560" w:lineRule="exact"/>
        <w:ind w:firstLine="640" w:firstLineChars="200"/>
        <w:rPr>
          <w:rFonts w:ascii="仿宋_GB2312" w:hAnsi="仿宋" w:eastAsia="仿宋_GB2312"/>
          <w:sz w:val="32"/>
          <w:szCs w:val="32"/>
          <w:highlight w:val="none"/>
        </w:rPr>
      </w:pPr>
      <w:r>
        <w:rPr>
          <w:rFonts w:hint="eastAsia" w:ascii="仿宋_GB2312" w:hAnsi="仿宋" w:eastAsia="仿宋_GB2312"/>
          <w:sz w:val="32"/>
          <w:szCs w:val="32"/>
          <w:highlight w:val="none"/>
        </w:rPr>
        <w:t>其他与资产使用相关的税金或费用。</w:t>
      </w:r>
    </w:p>
    <w:p w14:paraId="189233E9">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（二）乙方应对经营活动产生的噪音、废水、废气进行妥善处理，不得为此影响周边居民和单位的正常工作、生活，因此造成的一切损失和责任均由乙方承担。</w:t>
      </w:r>
    </w:p>
    <w:p w14:paraId="1C42A82E">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第七条 甲方的权利与义务</w:t>
      </w:r>
    </w:p>
    <w:p w14:paraId="66461F0C">
      <w:pPr>
        <w:numPr>
          <w:ilvl w:val="0"/>
          <w:numId w:val="5"/>
        </w:numPr>
        <w:adjustRightInd w:val="0"/>
        <w:snapToGrid w:val="0"/>
        <w:spacing w:line="560" w:lineRule="exact"/>
        <w:ind w:firstLine="640"/>
        <w:rPr>
          <w:rFonts w:ascii="仿宋_GB2312" w:hAnsi="仿宋" w:eastAsia="仿宋_GB2312"/>
          <w:sz w:val="32"/>
          <w:szCs w:val="32"/>
        </w:rPr>
      </w:pPr>
      <w:r>
        <w:rPr>
          <w:rFonts w:hint="eastAsia" w:ascii="仿宋_GB2312" w:hAnsi="仿宋" w:eastAsia="仿宋_GB2312"/>
          <w:sz w:val="32"/>
          <w:szCs w:val="32"/>
          <w:highlight w:val="none"/>
        </w:rPr>
        <w:t>租赁期间，因政策性拆迁或不</w:t>
      </w:r>
      <w:r>
        <w:rPr>
          <w:rFonts w:hint="eastAsia" w:ascii="仿宋_GB2312" w:hAnsi="仿宋" w:eastAsia="仿宋_GB2312"/>
          <w:sz w:val="32"/>
          <w:szCs w:val="32"/>
        </w:rPr>
        <w:t>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w:t>
      </w:r>
      <w:r>
        <w:rPr>
          <w:rFonts w:hint="eastAsia" w:ascii="仿宋_GB2312" w:hAnsi="仿宋" w:eastAsia="仿宋_GB2312"/>
          <w:sz w:val="32"/>
          <w:szCs w:val="32"/>
          <w:lang w:val="en-US" w:eastAsia="zh-CN"/>
        </w:rPr>
        <w:t>可</w:t>
      </w:r>
      <w:r>
        <w:rPr>
          <w:rFonts w:hint="eastAsia" w:ascii="仿宋_GB2312" w:hAnsi="仿宋" w:eastAsia="仿宋_GB2312"/>
          <w:sz w:val="32"/>
          <w:szCs w:val="32"/>
        </w:rPr>
        <w:t>由乙方享有的除外。</w:t>
      </w:r>
    </w:p>
    <w:p w14:paraId="0F6C5677">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hint="eastAsia" w:ascii="仿宋_GB2312" w:hAnsi="仿宋" w:eastAsia="仿宋_GB2312"/>
          <w:sz w:val="32"/>
          <w:szCs w:val="32"/>
        </w:rPr>
        <w:t>并要求乙方承担该年度租金30%的违约金，收回租赁资产，由此产生的一切损失由乙方承担。</w:t>
      </w:r>
    </w:p>
    <w:p w14:paraId="17E41817">
      <w:pPr>
        <w:numPr>
          <w:ilvl w:val="0"/>
          <w:numId w:val="5"/>
        </w:numPr>
        <w:adjustRightInd w:val="0"/>
        <w:snapToGrid w:val="0"/>
        <w:spacing w:line="560" w:lineRule="exact"/>
        <w:ind w:left="-10" w:firstLine="640" w:firstLineChars="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租赁期间，若因有项目规划或甲方经营所需等，甲方提前二个月通知乙方，有权单方解除本合同，收回租赁物（租金按实结算），乙方必须无条件服从且不得向甲方主张任何损失赔偿或补偿。</w:t>
      </w:r>
    </w:p>
    <w:p w14:paraId="29DE1865">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第八条 乙方的权利与义务</w:t>
      </w:r>
    </w:p>
    <w:p w14:paraId="46D40F6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36DE1E96">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乙方需装修，应事先征得甲方的同意，按规定须向有关部门审批的，则还应由甲方报请有关部门批准后，方可进行。</w:t>
      </w:r>
      <w:r>
        <w:rPr>
          <w:rFonts w:hint="eastAsia" w:ascii="仿宋_GB2312" w:hAnsi="仿宋" w:eastAsia="仿宋_GB2312"/>
          <w:sz w:val="32"/>
          <w:szCs w:val="32"/>
          <w:lang w:val="en-US" w:eastAsia="zh-CN"/>
        </w:rPr>
        <w:t>右侧产生的装修费由乙方自行承担。</w:t>
      </w:r>
    </w:p>
    <w:p w14:paraId="7F464E39">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同意，乙方不得擅自</w:t>
      </w:r>
      <w:r>
        <w:rPr>
          <w:rFonts w:hint="eastAsia" w:ascii="仿宋_GB2312" w:hAnsi="仿宋" w:eastAsia="仿宋_GB2312"/>
          <w:sz w:val="32"/>
          <w:szCs w:val="32"/>
          <w:lang w:val="en-US" w:eastAsia="zh-CN"/>
        </w:rPr>
        <w:t>直接或变相全部或部份</w:t>
      </w:r>
      <w:r>
        <w:rPr>
          <w:rFonts w:hint="eastAsia" w:ascii="仿宋_GB2312" w:hAnsi="仿宋" w:eastAsia="仿宋_GB2312"/>
          <w:sz w:val="32"/>
          <w:szCs w:val="32"/>
        </w:rPr>
        <w:t>转租、转让，不得将所租资产作任何形式的抵押或担保，资产租赁期间房屋(土地)维修养护等费用由乙方负责，同时乙方必须保持房屋(土地)整体结构不受破坏，擅自拆改结构或改变用途造成损失的由乙方赔偿损失。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不得装修和搭建临时建筑物，经甲方同意装修和搭建的，租赁期满时，除可以移动的动产外，其他装修无条件无偿归甲方所有，甲方也不对此做任何补偿。乙方不得拆除所有不动产部分（包括装潢部分），乙方添附的活动物品、设备，由乙方自行处理。租赁期满，若乙方改变原甲方交付乙方时的房屋(土地)现状的，乙方交还租赁资产时应按甲方要求恢复资产原状，乙方应予以遵从并承担恢复原状费用。</w:t>
      </w:r>
    </w:p>
    <w:p w14:paraId="651D90C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乙方在经营过程中，由于乙方原因造成第三人财产损失、人身损害或其他侵权的，由乙方自行承担相应的责任与赔偿，若甲方因此遭受损失的，乙方还应承担赔偿责任。</w:t>
      </w:r>
    </w:p>
    <w:p w14:paraId="713961D5">
      <w:pPr>
        <w:numPr>
          <w:ilvl w:val="0"/>
          <w:numId w:val="6"/>
        </w:numPr>
        <w:adjustRightInd w:val="0"/>
        <w:snapToGrid w:val="0"/>
        <w:spacing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sz w:val="32"/>
          <w:szCs w:val="32"/>
        </w:rPr>
        <w:t>租赁期间，乙方应负责做好消防、安全、卫生等工作，甲方有权予以督促。</w:t>
      </w:r>
      <w:r>
        <w:rPr>
          <w:rFonts w:hint="eastAsia" w:ascii="仿宋_GB2312" w:hAnsi="仿宋" w:eastAsia="仿宋_GB2312" w:cs="Times New Roman"/>
          <w:sz w:val="32"/>
          <w:szCs w:val="32"/>
        </w:rPr>
        <w:t>由于乙方消防治安等责任不到位，措施不落实等原因，导致经济损失或人员伤亡的，由乙方承担一切责任</w:t>
      </w:r>
      <w:r>
        <w:rPr>
          <w:rFonts w:hint="eastAsia" w:ascii="仿宋_GB2312" w:hAnsi="仿宋" w:eastAsia="仿宋_GB2312" w:cs="Times New Roman"/>
          <w:sz w:val="32"/>
          <w:szCs w:val="32"/>
          <w:lang w:eastAsia="zh-CN"/>
        </w:rPr>
        <w:t>。</w:t>
      </w:r>
    </w:p>
    <w:p w14:paraId="2FC727B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33B645DC">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rPr>
        <w:t>乙方若要终止租赁关系，须提前叁个月书面通知甲方。经甲方书面同意后方可终止租赁关系。</w:t>
      </w:r>
    </w:p>
    <w:p w14:paraId="0669934F">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乙方不得存放易燃易爆品、灌装液体、危险化学品等，不能产生噪音、污染物等不符合当地政府要求的排放物，不得在场地上放置渣土及搭建任何建筑物等，不得在场地内进行机械设备、车辆维修，拆装等，不得进行法律、法规禁止的其他活动。否则</w:t>
      </w:r>
      <w:r>
        <w:rPr>
          <w:rFonts w:hint="eastAsia" w:ascii="仿宋_GB2312" w:hAnsi="仿宋" w:eastAsia="仿宋_GB2312"/>
          <w:color w:val="000000"/>
          <w:sz w:val="32"/>
          <w:szCs w:val="32"/>
        </w:rPr>
        <w:t>甲方有权解除本合同、不退还乙方剩余租金、没收乙方全部履约保证金</w:t>
      </w:r>
      <w:r>
        <w:rPr>
          <w:rFonts w:hint="eastAsia" w:ascii="仿宋_GB2312" w:hAnsi="仿宋" w:eastAsia="仿宋_GB2312"/>
          <w:color w:val="000000"/>
          <w:sz w:val="32"/>
          <w:szCs w:val="32"/>
          <w:lang w:eastAsia="zh-CN"/>
        </w:rPr>
        <w:t>。</w:t>
      </w:r>
    </w:p>
    <w:p w14:paraId="10F82E48">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第九条 租赁期满</w:t>
      </w:r>
    </w:p>
    <w:p w14:paraId="047BB4BC">
      <w:pPr>
        <w:numPr>
          <w:ilvl w:val="0"/>
          <w:numId w:val="7"/>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将租赁资产</w:t>
      </w:r>
      <w:r>
        <w:rPr>
          <w:rFonts w:ascii="仿宋_GB2312" w:hAnsi="仿宋" w:eastAsia="仿宋_GB2312"/>
          <w:sz w:val="32"/>
          <w:szCs w:val="32"/>
        </w:rPr>
        <w:t>腾退并交还给</w:t>
      </w:r>
      <w:r>
        <w:rPr>
          <w:rFonts w:hint="eastAsia" w:ascii="仿宋_GB2312" w:hAnsi="仿宋" w:eastAsia="仿宋_GB2312"/>
          <w:sz w:val="32"/>
          <w:szCs w:val="32"/>
        </w:rPr>
        <w:t>甲方</w:t>
      </w:r>
      <w:r>
        <w:rPr>
          <w:rFonts w:ascii="仿宋_GB2312" w:hAnsi="仿宋" w:eastAsia="仿宋_GB2312"/>
          <w:sz w:val="32"/>
          <w:szCs w:val="32"/>
        </w:rPr>
        <w:t>验收，</w:t>
      </w:r>
      <w:r>
        <w:rPr>
          <w:rFonts w:hint="eastAsia" w:ascii="仿宋_GB2312" w:hAnsi="仿宋" w:eastAsia="仿宋_GB2312"/>
          <w:sz w:val="32"/>
          <w:szCs w:val="32"/>
        </w:rPr>
        <w:t>否则，甲方可采用停水、停电等强制性措施；乙方逾期</w:t>
      </w:r>
      <w:r>
        <w:rPr>
          <w:rFonts w:ascii="仿宋_GB2312" w:hAnsi="仿宋" w:eastAsia="仿宋_GB2312"/>
          <w:sz w:val="32"/>
          <w:szCs w:val="32"/>
        </w:rPr>
        <w:t>腾退</w:t>
      </w:r>
      <w:r>
        <w:rPr>
          <w:rFonts w:hint="eastAsia" w:ascii="仿宋_GB2312" w:hAnsi="仿宋" w:eastAsia="仿宋_GB2312"/>
          <w:sz w:val="32"/>
          <w:szCs w:val="32"/>
        </w:rPr>
        <w:t>交还租赁资产期间按原租金三倍向甲方支付违约金。如</w:t>
      </w:r>
      <w:r>
        <w:rPr>
          <w:rFonts w:ascii="仿宋_GB2312" w:hAnsi="仿宋" w:eastAsia="仿宋_GB2312"/>
          <w:sz w:val="32"/>
          <w:szCs w:val="32"/>
        </w:rPr>
        <w:t>逾期未腾退</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处置费用由乙方自行承担，</w:t>
      </w:r>
      <w:r>
        <w:rPr>
          <w:rFonts w:hint="eastAsia" w:ascii="仿宋_GB2312" w:hAnsi="仿宋" w:eastAsia="仿宋_GB2312"/>
          <w:sz w:val="32"/>
          <w:szCs w:val="32"/>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48E165D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第十条 违约责任</w:t>
      </w:r>
    </w:p>
    <w:p w14:paraId="037D736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484F370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8A3B064">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6E4C65A">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sz w:val="32"/>
          <w:szCs w:val="32"/>
        </w:rPr>
        <w:t>（四）未经甲方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同意，乙方如果擅自</w:t>
      </w:r>
      <w:r>
        <w:rPr>
          <w:rFonts w:hint="eastAsia" w:ascii="仿宋_GB2312" w:hAnsi="仿宋" w:eastAsia="仿宋_GB2312"/>
          <w:sz w:val="32"/>
          <w:szCs w:val="32"/>
          <w:lang w:val="en-US" w:eastAsia="zh-CN"/>
        </w:rPr>
        <w:t>直接或间接全部或部分</w:t>
      </w:r>
      <w:r>
        <w:rPr>
          <w:rFonts w:hint="eastAsia" w:ascii="仿宋_GB2312" w:hAnsi="仿宋" w:eastAsia="仿宋_GB2312"/>
          <w:color w:val="000000"/>
          <w:sz w:val="32"/>
          <w:szCs w:val="32"/>
        </w:rPr>
        <w:t>转租或擅自改变资产用途的,或违反国家法律、法规从事非法经营，或其他损害公共利益的，则甲方有权解除本合同、不退还乙方剩余租金、没收乙方全部履约保证金并要求乙方按照该年度租金的10%支付违约金。</w:t>
      </w:r>
    </w:p>
    <w:p w14:paraId="7302B4E9">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（五）退租前,乙方应将房屋打扫干净,清理屋内垃圾及杂物、恢复原状,否则视为乙方违约，如乙方违约，要求乙方按照该年度租金的10%支付违约金。</w:t>
      </w:r>
    </w:p>
    <w:p w14:paraId="3B8B72CB">
      <w:pPr>
        <w:adjustRightInd w:val="0"/>
        <w:snapToGrid w:val="0"/>
        <w:spacing w:line="560" w:lineRule="exact"/>
        <w:ind w:left="0" w:firstLine="640" w:firstLineChars="200"/>
        <w:jc w:val="left"/>
        <w:rPr>
          <w:rFonts w:ascii="仿宋_GB2312" w:hAnsi="仿宋" w:eastAsia="仿宋_GB2312"/>
          <w:sz w:val="32"/>
          <w:szCs w:val="32"/>
        </w:rPr>
      </w:pPr>
      <w:r>
        <w:rPr>
          <w:rFonts w:hint="eastAsia" w:ascii="仿宋_GB2312" w:hAnsi="仿宋" w:eastAsia="仿宋_GB2312"/>
          <w:sz w:val="32"/>
          <w:szCs w:val="32"/>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1BCFBBC3">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（七）因乙方违约，甲方为追索赔偿而支付的律师费、公证费、保全费、担保费和差旅费等费用均由乙方承担。</w:t>
      </w:r>
    </w:p>
    <w:p w14:paraId="320877EC">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（八）在合同有效期内，如遇到不可抗力因素，致使合同无法履行，双方互不承担责任，所产生的经济损失由双方各自承担，如遇租赁资产拆迁、征用等政府行为的，一方无须向另一方承担违约责任或赔偿责任。</w:t>
      </w:r>
    </w:p>
    <w:p w14:paraId="6CC993ED">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w:t>
      </w:r>
      <w:r>
        <w:rPr>
          <w:rFonts w:hint="eastAsia" w:ascii="仿宋_GB2312" w:hAnsi="仿宋" w:eastAsia="仿宋_GB2312"/>
          <w:sz w:val="32"/>
          <w:szCs w:val="32"/>
          <w:lang w:val="en-US" w:eastAsia="zh-CN"/>
        </w:rPr>
        <w:t>事先</w:t>
      </w:r>
      <w:r>
        <w:rPr>
          <w:rFonts w:hint="eastAsia" w:ascii="仿宋_GB2312" w:hAnsi="仿宋" w:eastAsia="仿宋_GB2312"/>
          <w:sz w:val="32"/>
          <w:szCs w:val="32"/>
        </w:rPr>
        <w:t>通知</w:t>
      </w:r>
      <w:r>
        <w:rPr>
          <w:rFonts w:hint="eastAsia" w:ascii="仿宋_GB2312" w:hAnsi="仿宋" w:eastAsia="仿宋_GB2312"/>
          <w:sz w:val="32"/>
          <w:szCs w:val="32"/>
          <w:lang w:val="en-US" w:eastAsia="zh-CN"/>
        </w:rPr>
        <w:t>乙方</w:t>
      </w:r>
      <w:r>
        <w:rPr>
          <w:rFonts w:hint="eastAsia" w:ascii="仿宋_GB2312" w:hAnsi="仿宋" w:eastAsia="仿宋_GB2312"/>
          <w:sz w:val="32"/>
          <w:szCs w:val="32"/>
        </w:rPr>
        <w:t>后拒不纠正</w:t>
      </w:r>
      <w:r>
        <w:rPr>
          <w:rFonts w:hint="eastAsia" w:ascii="仿宋_GB2312" w:hAnsi="仿宋" w:eastAsia="仿宋_GB2312"/>
          <w:sz w:val="32"/>
          <w:szCs w:val="32"/>
          <w:lang w:val="en-US" w:eastAsia="zh-CN"/>
        </w:rPr>
        <w:t>或合理期限内未予纠正</w:t>
      </w:r>
      <w:r>
        <w:rPr>
          <w:rFonts w:hint="eastAsia" w:ascii="仿宋_GB2312" w:hAnsi="仿宋" w:eastAsia="仿宋_GB2312"/>
          <w:sz w:val="32"/>
          <w:szCs w:val="32"/>
        </w:rPr>
        <w:t>的，甲方有权采取停水停电等形式，直至乙方纠正其违约行为，而无需向乙方承担任何责任。</w:t>
      </w:r>
    </w:p>
    <w:p w14:paraId="7D30E6D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w:t>
      </w:r>
      <w:r>
        <w:rPr>
          <w:rFonts w:hint="eastAsia" w:ascii="仿宋_GB2312" w:hAnsi="仿宋" w:eastAsia="仿宋_GB2312"/>
          <w:sz w:val="32"/>
          <w:szCs w:val="32"/>
          <w:lang w:eastAsia="zh-CN"/>
        </w:rPr>
        <w:t>，</w:t>
      </w:r>
      <w:r>
        <w:rPr>
          <w:rFonts w:hint="eastAsia" w:ascii="仿宋_GB2312" w:hAnsi="仿宋" w:eastAsia="仿宋_GB2312"/>
          <w:sz w:val="32"/>
          <w:szCs w:val="32"/>
        </w:rPr>
        <w:t>采取停水停电措施至乙方同意按约履行或整改时止等措施。乙方应当按照本合同约定或者告知书约定承担违约责任。</w:t>
      </w:r>
    </w:p>
    <w:p w14:paraId="381D843D">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第十一条 争议处理方式</w:t>
      </w:r>
    </w:p>
    <w:p w14:paraId="7BC6C47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125DCD0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2C6B3B32">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48864CD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1EF656D6">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（一）</w:t>
      </w:r>
      <w:r>
        <w:rPr>
          <w:rFonts w:hint="eastAsia" w:ascii="仿宋_GB2312" w:hAnsi="仿宋" w:eastAsia="仿宋_GB2312"/>
          <w:sz w:val="32"/>
          <w:szCs w:val="32"/>
        </w:rPr>
        <w:t>对于本合同未尽事项，双方可另行签订补充协议，补充协议作为本合同的附件，具有同等法律效力。</w:t>
      </w:r>
    </w:p>
    <w:p w14:paraId="4C96D537">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二</w:t>
      </w:r>
      <w:r>
        <w:rPr>
          <w:rFonts w:hint="eastAsia" w:ascii="仿宋_GB2312" w:hAnsi="仿宋" w:eastAsia="仿宋_GB2312"/>
          <w:sz w:val="32"/>
          <w:szCs w:val="32"/>
          <w:lang w:eastAsia="zh-CN"/>
        </w:rPr>
        <w:t>）</w:t>
      </w:r>
      <w:r>
        <w:rPr>
          <w:rFonts w:hint="eastAsia" w:ascii="仿宋_GB2312" w:hAnsi="仿宋" w:eastAsia="仿宋_GB2312"/>
          <w:sz w:val="32"/>
          <w:szCs w:val="32"/>
        </w:rPr>
        <w:t>本合同须经甲乙双方签字并盖章后生效。</w:t>
      </w:r>
    </w:p>
    <w:p w14:paraId="64178E5F">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（三）</w:t>
      </w: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5B667DA3">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四</w:t>
      </w:r>
      <w:r>
        <w:rPr>
          <w:rFonts w:hint="eastAsia" w:ascii="仿宋_GB2312" w:hAnsi="仿宋" w:eastAsia="仿宋_GB2312"/>
          <w:sz w:val="32"/>
          <w:szCs w:val="32"/>
          <w:lang w:eastAsia="zh-CN"/>
        </w:rPr>
        <w:t>）</w:t>
      </w: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2922A409">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lang w:eastAsia="zh-CN"/>
        </w:rPr>
        <w:t>）</w:t>
      </w:r>
      <w:r>
        <w:rPr>
          <w:rFonts w:hint="eastAsia" w:ascii="仿宋_GB2312" w:hAnsi="仿宋" w:eastAsia="仿宋_GB2312"/>
          <w:sz w:val="32"/>
          <w:szCs w:val="32"/>
        </w:rPr>
        <w:t>本合同一式肆份，甲乙双方各执贰份，均具有同等的法律效力。</w:t>
      </w:r>
    </w:p>
    <w:p w14:paraId="0DE8210E">
      <w:pPr>
        <w:adjustRightInd w:val="0"/>
        <w:snapToGrid w:val="0"/>
        <w:spacing w:line="560" w:lineRule="exact"/>
        <w:ind w:firstLine="960" w:firstLineChars="300"/>
        <w:rPr>
          <w:rFonts w:ascii="仿宋_GB2312" w:hAnsi="仿宋" w:eastAsia="仿宋_GB2312"/>
          <w:sz w:val="32"/>
          <w:szCs w:val="32"/>
        </w:rPr>
      </w:pPr>
      <w:r>
        <w:rPr>
          <w:rFonts w:hint="eastAsia" w:ascii="仿宋_GB2312" w:hAnsi="仿宋" w:eastAsia="仿宋_GB2312"/>
          <w:sz w:val="32"/>
          <w:szCs w:val="32"/>
        </w:rPr>
        <w:t>附件：</w:t>
      </w:r>
    </w:p>
    <w:p w14:paraId="6175A39A">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.出租资产安全协议</w:t>
      </w:r>
    </w:p>
    <w:p w14:paraId="032B0640">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.乙方（法人代表）身份证复印件、营业执照复印件</w:t>
      </w:r>
    </w:p>
    <w:p w14:paraId="3B4922B0">
      <w:pPr>
        <w:adjustRightInd w:val="0"/>
        <w:snapToGrid w:val="0"/>
        <w:spacing w:line="560" w:lineRule="exact"/>
        <w:ind w:left="0" w:leftChars="0" w:firstLine="0" w:firstLineChars="0"/>
        <w:rPr>
          <w:rFonts w:ascii="仿宋_GB2312" w:hAnsi="仿宋" w:eastAsia="仿宋_GB2312"/>
          <w:sz w:val="32"/>
          <w:szCs w:val="32"/>
        </w:rPr>
      </w:pPr>
      <w:r>
        <w:rPr>
          <w:rFonts w:hint="eastAsia" w:ascii="仿宋_GB2312" w:hAnsi="仿宋" w:eastAsia="仿宋_GB2312"/>
          <w:sz w:val="32"/>
          <w:szCs w:val="32"/>
        </w:rPr>
        <w:t>甲方签字(盖章)：              乙方签字(盖章)：</w:t>
      </w:r>
    </w:p>
    <w:p w14:paraId="6DDB15AA">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法定代表人：                  法定代表人：</w:t>
      </w:r>
    </w:p>
    <w:p w14:paraId="03026E4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年  月  日                    年  月  日</w:t>
      </w:r>
    </w:p>
    <w:p w14:paraId="777CC898">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30ABEBFD">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79FDEF3E">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4675DAB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3EC7F777">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1D4D39BC">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739EDF55">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4F94BD70">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60196B3B">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21CA506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719A5D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5B05325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162920D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254086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17A8979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0DB370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DBFF51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32B8172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294E7D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1896B2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798462C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B6C5BE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9EC581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34CF50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A3372F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5CC101D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3465A39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C518C4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0C179FD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72A3D97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62076D0F">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63F3776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B05504F">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7921919">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304CE2BB">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79C86A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38094F0">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7661C60"/>
    <w:p w14:paraId="3E6F0A63">
      <w:pPr>
        <w:pStyle w:val="18"/>
      </w:pPr>
    </w:p>
    <w:p w14:paraId="6735C029">
      <w:pPr>
        <w:pStyle w:val="18"/>
      </w:pPr>
    </w:p>
    <w:p w14:paraId="7D7CBEBA">
      <w:pPr>
        <w:pStyle w:val="18"/>
      </w:pPr>
    </w:p>
    <w:p w14:paraId="5F74069C">
      <w:pPr>
        <w:pStyle w:val="18"/>
      </w:pPr>
    </w:p>
    <w:p w14:paraId="02B96104">
      <w:pPr>
        <w:pStyle w:val="18"/>
      </w:pPr>
    </w:p>
    <w:p w14:paraId="006FDE6E">
      <w:pPr>
        <w:pStyle w:val="18"/>
      </w:pPr>
    </w:p>
    <w:p w14:paraId="7A3960F2">
      <w:pPr>
        <w:pStyle w:val="18"/>
      </w:pPr>
    </w:p>
    <w:p w14:paraId="1CC472E0">
      <w:pPr>
        <w:pStyle w:val="18"/>
      </w:pPr>
    </w:p>
    <w:p w14:paraId="3EDDE1D1">
      <w:pPr>
        <w:pStyle w:val="18"/>
      </w:pPr>
    </w:p>
    <w:p w14:paraId="6CAC0154">
      <w:pPr>
        <w:pStyle w:val="18"/>
      </w:pPr>
    </w:p>
    <w:p w14:paraId="246FBBA1">
      <w:pPr>
        <w:pStyle w:val="18"/>
      </w:pPr>
    </w:p>
    <w:p w14:paraId="754107FA">
      <w:pPr>
        <w:pStyle w:val="18"/>
      </w:pPr>
    </w:p>
    <w:p w14:paraId="5620DDEF">
      <w:pPr>
        <w:pStyle w:val="18"/>
      </w:pPr>
    </w:p>
    <w:p w14:paraId="5E3E82AE">
      <w:pPr>
        <w:rPr>
          <w:rFonts w:hint="eastAsia" w:ascii="黑体" w:hAnsi="黑体" w:eastAsia="黑体" w:cs="黑体"/>
          <w:b/>
          <w:bCs/>
          <w:sz w:val="30"/>
          <w:szCs w:val="30"/>
        </w:rPr>
      </w:pPr>
    </w:p>
    <w:p w14:paraId="7EA00817">
      <w:pPr>
        <w:rPr>
          <w:rFonts w:hint="eastAsia" w:ascii="黑体" w:hAnsi="黑体" w:eastAsia="黑体" w:cs="黑体"/>
          <w:b/>
          <w:bCs/>
          <w:sz w:val="30"/>
          <w:szCs w:val="30"/>
        </w:rPr>
      </w:pPr>
    </w:p>
    <w:p w14:paraId="7BA8337D">
      <w:pPr>
        <w:rPr>
          <w:rFonts w:hint="eastAsia" w:ascii="黑体" w:hAnsi="黑体" w:eastAsia="黑体" w:cs="黑体"/>
          <w:b/>
          <w:bCs/>
          <w:sz w:val="30"/>
          <w:szCs w:val="30"/>
        </w:rPr>
      </w:pPr>
    </w:p>
    <w:p w14:paraId="42AF3189">
      <w:pPr>
        <w:rPr>
          <w:rFonts w:hint="eastAsia" w:ascii="黑体" w:hAnsi="黑体" w:eastAsia="黑体" w:cs="黑体"/>
          <w:b/>
          <w:bCs/>
          <w:sz w:val="30"/>
          <w:szCs w:val="30"/>
        </w:rPr>
      </w:pPr>
    </w:p>
    <w:p w14:paraId="41CC4210">
      <w:pPr>
        <w:rPr>
          <w:rFonts w:hint="eastAsia" w:ascii="黑体" w:hAnsi="黑体" w:eastAsia="黑体" w:cs="黑体"/>
          <w:b/>
          <w:bCs/>
          <w:sz w:val="30"/>
          <w:szCs w:val="30"/>
        </w:rPr>
      </w:pPr>
    </w:p>
    <w:p w14:paraId="2B42D252">
      <w:pPr>
        <w:rPr>
          <w:rFonts w:hint="eastAsia" w:ascii="黑体" w:hAnsi="黑体" w:eastAsia="黑体" w:cs="黑体"/>
          <w:b/>
          <w:bCs/>
          <w:sz w:val="30"/>
          <w:szCs w:val="30"/>
        </w:rPr>
      </w:pPr>
    </w:p>
    <w:p w14:paraId="3FA6EA9F">
      <w:pPr>
        <w:rPr>
          <w:rFonts w:hint="eastAsia" w:ascii="黑体" w:hAnsi="黑体" w:eastAsia="黑体" w:cs="黑体"/>
          <w:b/>
          <w:bCs/>
          <w:sz w:val="30"/>
          <w:szCs w:val="30"/>
        </w:rPr>
      </w:pPr>
    </w:p>
    <w:p w14:paraId="2CFB660A">
      <w:pPr>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drawing>
          <wp:inline distT="0" distB="0" distL="114300" distR="114300">
            <wp:extent cx="5538470" cy="4558030"/>
            <wp:effectExtent l="0" t="0" r="5080" b="13970"/>
            <wp:docPr id="1" name="图片 1" descr="1753325883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53325883364"/>
                    <pic:cNvPicPr>
                      <a:picLocks noChangeAspect="1"/>
                    </pic:cNvPicPr>
                  </pic:nvPicPr>
                  <pic:blipFill>
                    <a:blip r:embed="rId5"/>
                    <a:stretch>
                      <a:fillRect/>
                    </a:stretch>
                  </pic:blipFill>
                  <pic:spPr>
                    <a:xfrm>
                      <a:off x="0" y="0"/>
                      <a:ext cx="5538470" cy="4558030"/>
                    </a:xfrm>
                    <a:prstGeom prst="rect">
                      <a:avLst/>
                    </a:prstGeom>
                  </pic:spPr>
                </pic:pic>
              </a:graphicData>
            </a:graphic>
          </wp:inline>
        </w:drawing>
      </w:r>
    </w:p>
    <w:p w14:paraId="2244A98F">
      <w:pPr>
        <w:rPr>
          <w:rFonts w:hint="eastAsia" w:ascii="黑体" w:hAnsi="黑体" w:eastAsia="黑体" w:cs="黑体"/>
          <w:b/>
          <w:bCs/>
          <w:sz w:val="30"/>
          <w:szCs w:val="30"/>
        </w:rPr>
      </w:pPr>
    </w:p>
    <w:p w14:paraId="262EFCA8">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14071E-A704-46D4-83B1-C835DB7351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9D70D6AE-9905-49CE-94A7-14749DF85778}"/>
  </w:font>
  <w:font w:name="仿宋_GB2312">
    <w:panose1 w:val="02010609030101010101"/>
    <w:charset w:val="86"/>
    <w:family w:val="modern"/>
    <w:pitch w:val="default"/>
    <w:sig w:usb0="00000001" w:usb1="080E0000" w:usb2="00000000" w:usb3="00000000" w:csb0="00040000" w:csb1="00000000"/>
    <w:embedRegular r:id="rId3" w:fontKey="{6DDE910B-DEE8-48F7-9711-4CDB5E3B56ED}"/>
  </w:font>
  <w:font w:name="方正小标宋简体">
    <w:panose1 w:val="03000509000000000000"/>
    <w:charset w:val="86"/>
    <w:family w:val="auto"/>
    <w:pitch w:val="default"/>
    <w:sig w:usb0="00000001" w:usb1="080E0000" w:usb2="00000000" w:usb3="00000000" w:csb0="00040000" w:csb1="00000000"/>
    <w:embedRegular r:id="rId4" w:fontKey="{1F4093FE-3DCD-4A75-B517-529DAF8DEA51}"/>
  </w:font>
  <w:font w:name="Helvetica">
    <w:altName w:val="Arial"/>
    <w:panose1 w:val="020B0604020202020204"/>
    <w:charset w:val="00"/>
    <w:family w:val="swiss"/>
    <w:pitch w:val="default"/>
    <w:sig w:usb0="00000000" w:usb1="00000000" w:usb2="00000000" w:usb3="00000000" w:csb0="00000001" w:csb1="00000000"/>
    <w:embedRegular r:id="rId5" w:fontKey="{BFB7DD8D-2006-4C45-99EA-CE6276AF87E1}"/>
  </w:font>
  <w:font w:name="仿宋">
    <w:panose1 w:val="02010609060101010101"/>
    <w:charset w:val="86"/>
    <w:family w:val="auto"/>
    <w:pitch w:val="default"/>
    <w:sig w:usb0="800002BF" w:usb1="38CF7CFA" w:usb2="00000016" w:usb3="00000000" w:csb0="00040001" w:csb1="00000000"/>
    <w:embedRegular r:id="rId6" w:fontKey="{FC68D66E-D9DE-44F3-BFA5-DB9053D664C1}"/>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608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A9E3E0">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lorSAQAAog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2yWitIBAACiAwAADgAAAAAAAAABACAAAAAfAQAA&#10;ZHJzL2Uyb0RvYy54bWxQSwUGAAAAAAYABgBZAQAAYwUAAAAA&#10;">
              <v:fill on="f" focussize="0,0"/>
              <v:stroke on="f" weight="0.5pt"/>
              <v:imagedata o:title=""/>
              <o:lock v:ext="edit" aspectratio="f"/>
              <v:textbox inset="0mm,0mm,0mm,0mm" style="mso-fit-shape-to-text:t;">
                <w:txbxContent>
                  <w:p w14:paraId="06A9E3E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145609"/>
    <w:rsid w:val="01E90844"/>
    <w:rsid w:val="024141DC"/>
    <w:rsid w:val="0332193F"/>
    <w:rsid w:val="03A83EC6"/>
    <w:rsid w:val="044C330C"/>
    <w:rsid w:val="046248DD"/>
    <w:rsid w:val="04CC48A5"/>
    <w:rsid w:val="04E8159A"/>
    <w:rsid w:val="05706B86"/>
    <w:rsid w:val="07724E37"/>
    <w:rsid w:val="078C6EA6"/>
    <w:rsid w:val="082C148A"/>
    <w:rsid w:val="08940DDD"/>
    <w:rsid w:val="09563087"/>
    <w:rsid w:val="0AC7549A"/>
    <w:rsid w:val="0ADA341F"/>
    <w:rsid w:val="0B27418B"/>
    <w:rsid w:val="0B845139"/>
    <w:rsid w:val="0B9E444D"/>
    <w:rsid w:val="0C654F6B"/>
    <w:rsid w:val="0C9E047D"/>
    <w:rsid w:val="0CAE11B1"/>
    <w:rsid w:val="0D2941EA"/>
    <w:rsid w:val="0D755681"/>
    <w:rsid w:val="0DB60CFB"/>
    <w:rsid w:val="0E032C8D"/>
    <w:rsid w:val="0E8A515C"/>
    <w:rsid w:val="0E8C4620"/>
    <w:rsid w:val="0F45621F"/>
    <w:rsid w:val="0F9E7DA0"/>
    <w:rsid w:val="0FE32D76"/>
    <w:rsid w:val="10447EAA"/>
    <w:rsid w:val="11AE00FA"/>
    <w:rsid w:val="13E40E6B"/>
    <w:rsid w:val="15565D98"/>
    <w:rsid w:val="15EC3809"/>
    <w:rsid w:val="16124B55"/>
    <w:rsid w:val="163F682C"/>
    <w:rsid w:val="1673687F"/>
    <w:rsid w:val="168B18FA"/>
    <w:rsid w:val="16B4429C"/>
    <w:rsid w:val="16E573D4"/>
    <w:rsid w:val="171B2DF6"/>
    <w:rsid w:val="17A70B2D"/>
    <w:rsid w:val="183A35E1"/>
    <w:rsid w:val="1B6C6C42"/>
    <w:rsid w:val="1BA64381"/>
    <w:rsid w:val="1C36422E"/>
    <w:rsid w:val="1C7B60E4"/>
    <w:rsid w:val="1E1B192D"/>
    <w:rsid w:val="1E8F40C9"/>
    <w:rsid w:val="1F1840BF"/>
    <w:rsid w:val="1F2B3DF2"/>
    <w:rsid w:val="202E24B8"/>
    <w:rsid w:val="20557297"/>
    <w:rsid w:val="20C444FE"/>
    <w:rsid w:val="20E26732"/>
    <w:rsid w:val="2149055F"/>
    <w:rsid w:val="21751354"/>
    <w:rsid w:val="22771AD7"/>
    <w:rsid w:val="228A7081"/>
    <w:rsid w:val="236C6787"/>
    <w:rsid w:val="23AB3753"/>
    <w:rsid w:val="23AC639B"/>
    <w:rsid w:val="24FF3D57"/>
    <w:rsid w:val="26A12BEB"/>
    <w:rsid w:val="26BA6837"/>
    <w:rsid w:val="270E5359"/>
    <w:rsid w:val="27E3461F"/>
    <w:rsid w:val="283F26BC"/>
    <w:rsid w:val="292F2731"/>
    <w:rsid w:val="294001AA"/>
    <w:rsid w:val="29FA0F90"/>
    <w:rsid w:val="2B5B6396"/>
    <w:rsid w:val="2CC24314"/>
    <w:rsid w:val="2EBA6F40"/>
    <w:rsid w:val="2F6173BC"/>
    <w:rsid w:val="2FBE65BC"/>
    <w:rsid w:val="300C7328"/>
    <w:rsid w:val="301533B0"/>
    <w:rsid w:val="324C7EAF"/>
    <w:rsid w:val="32AF043E"/>
    <w:rsid w:val="32E620B2"/>
    <w:rsid w:val="332D7CE1"/>
    <w:rsid w:val="336A24F7"/>
    <w:rsid w:val="34AA6116"/>
    <w:rsid w:val="361678D4"/>
    <w:rsid w:val="361869CB"/>
    <w:rsid w:val="36280C33"/>
    <w:rsid w:val="3680281D"/>
    <w:rsid w:val="36A75FFC"/>
    <w:rsid w:val="36BB5604"/>
    <w:rsid w:val="374675C3"/>
    <w:rsid w:val="37AD13F0"/>
    <w:rsid w:val="3821593A"/>
    <w:rsid w:val="389425B0"/>
    <w:rsid w:val="38CC7F9C"/>
    <w:rsid w:val="38F96120"/>
    <w:rsid w:val="393A53ED"/>
    <w:rsid w:val="3981176F"/>
    <w:rsid w:val="39B90520"/>
    <w:rsid w:val="39E127E1"/>
    <w:rsid w:val="3A667F7C"/>
    <w:rsid w:val="3A6B10EF"/>
    <w:rsid w:val="3ADA4485"/>
    <w:rsid w:val="3C1504A5"/>
    <w:rsid w:val="3CCF1E09"/>
    <w:rsid w:val="3DC54FBA"/>
    <w:rsid w:val="3ED216D9"/>
    <w:rsid w:val="407B3020"/>
    <w:rsid w:val="41704F33"/>
    <w:rsid w:val="41C9151C"/>
    <w:rsid w:val="41D34149"/>
    <w:rsid w:val="41DF4BEC"/>
    <w:rsid w:val="43574906"/>
    <w:rsid w:val="438F64E0"/>
    <w:rsid w:val="448160DE"/>
    <w:rsid w:val="44AD406E"/>
    <w:rsid w:val="45392515"/>
    <w:rsid w:val="45BE0C6C"/>
    <w:rsid w:val="45FF6E2A"/>
    <w:rsid w:val="47571378"/>
    <w:rsid w:val="477261B2"/>
    <w:rsid w:val="49521DF7"/>
    <w:rsid w:val="495C4A24"/>
    <w:rsid w:val="49F639D4"/>
    <w:rsid w:val="4A687422"/>
    <w:rsid w:val="4A6F4C2B"/>
    <w:rsid w:val="4CA54934"/>
    <w:rsid w:val="4DB72B71"/>
    <w:rsid w:val="4E791BD4"/>
    <w:rsid w:val="4EFF199E"/>
    <w:rsid w:val="50BB6933"/>
    <w:rsid w:val="51087240"/>
    <w:rsid w:val="517F670C"/>
    <w:rsid w:val="51850890"/>
    <w:rsid w:val="523E7488"/>
    <w:rsid w:val="53163C4B"/>
    <w:rsid w:val="53DB6E8D"/>
    <w:rsid w:val="53E67D0C"/>
    <w:rsid w:val="54A2107A"/>
    <w:rsid w:val="551408A9"/>
    <w:rsid w:val="55A0213D"/>
    <w:rsid w:val="561F7505"/>
    <w:rsid w:val="578E4942"/>
    <w:rsid w:val="58845F28"/>
    <w:rsid w:val="58CB5722"/>
    <w:rsid w:val="58DF4954"/>
    <w:rsid w:val="58FF53CC"/>
    <w:rsid w:val="59142C25"/>
    <w:rsid w:val="598B6C60"/>
    <w:rsid w:val="5A020223"/>
    <w:rsid w:val="5AD32876"/>
    <w:rsid w:val="5B3752F1"/>
    <w:rsid w:val="5B6A1223"/>
    <w:rsid w:val="5B9B13DC"/>
    <w:rsid w:val="5BF84746"/>
    <w:rsid w:val="5C0E6052"/>
    <w:rsid w:val="5C5322C6"/>
    <w:rsid w:val="5D1A6C78"/>
    <w:rsid w:val="5DA64068"/>
    <w:rsid w:val="5E425E33"/>
    <w:rsid w:val="5EC944B2"/>
    <w:rsid w:val="5F772160"/>
    <w:rsid w:val="601C4AB5"/>
    <w:rsid w:val="60310561"/>
    <w:rsid w:val="60DB227B"/>
    <w:rsid w:val="610F06F6"/>
    <w:rsid w:val="613227E3"/>
    <w:rsid w:val="61AD7D3C"/>
    <w:rsid w:val="624A590A"/>
    <w:rsid w:val="62D92ADC"/>
    <w:rsid w:val="633839B4"/>
    <w:rsid w:val="63A32D5E"/>
    <w:rsid w:val="63D657AA"/>
    <w:rsid w:val="64A05CB5"/>
    <w:rsid w:val="653603C7"/>
    <w:rsid w:val="65A17F37"/>
    <w:rsid w:val="672030DD"/>
    <w:rsid w:val="68B65AA7"/>
    <w:rsid w:val="690D143F"/>
    <w:rsid w:val="69B0699A"/>
    <w:rsid w:val="69E71C90"/>
    <w:rsid w:val="69FA5E67"/>
    <w:rsid w:val="6B2A277C"/>
    <w:rsid w:val="6BEA3CBA"/>
    <w:rsid w:val="6C186A79"/>
    <w:rsid w:val="6EC46A44"/>
    <w:rsid w:val="6EE15C81"/>
    <w:rsid w:val="6EF54E4F"/>
    <w:rsid w:val="6EF81C00"/>
    <w:rsid w:val="70AB7EBB"/>
    <w:rsid w:val="72FD2525"/>
    <w:rsid w:val="734B3290"/>
    <w:rsid w:val="7380441B"/>
    <w:rsid w:val="74055B36"/>
    <w:rsid w:val="74D3353D"/>
    <w:rsid w:val="750D1C16"/>
    <w:rsid w:val="7517506E"/>
    <w:rsid w:val="75545F0B"/>
    <w:rsid w:val="75A629FF"/>
    <w:rsid w:val="75ED062E"/>
    <w:rsid w:val="76426BCC"/>
    <w:rsid w:val="78FE2B52"/>
    <w:rsid w:val="795D3D1D"/>
    <w:rsid w:val="79F91C98"/>
    <w:rsid w:val="79FD2E0A"/>
    <w:rsid w:val="7A0847C2"/>
    <w:rsid w:val="7A15284A"/>
    <w:rsid w:val="7A3D3C8C"/>
    <w:rsid w:val="7AE42206"/>
    <w:rsid w:val="7CEE331F"/>
    <w:rsid w:val="7E5971A9"/>
    <w:rsid w:val="7E5E656D"/>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 w:type="paragraph" w:customStyle="1" w:styleId="18">
    <w:name w:val="正文缩进1"/>
    <w:basedOn w:val="1"/>
    <w:qFormat/>
    <w:uiPriority w:val="0"/>
    <w:pPr>
      <w:ind w:firstLine="420" w:firstLineChars="200"/>
    </w:pPr>
    <w:rPr>
      <w:rFonts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9368</Words>
  <Characters>9643</Characters>
  <Lines>0</Lines>
  <Paragraphs>0</Paragraphs>
  <TotalTime>0</TotalTime>
  <ScaleCrop>false</ScaleCrop>
  <LinksUpToDate>false</LinksUpToDate>
  <CharactersWithSpaces>10153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2025-10-27T01:22:37Z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